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3E" w:rsidRDefault="0020003E" w:rsidP="0020003E">
      <w:pPr>
        <w:pStyle w:val="StyleResumeTextBoldNotBold"/>
        <w:spacing w:before="0"/>
        <w:ind w:right="0"/>
      </w:pPr>
      <w:r>
        <w:br w:type="page"/>
      </w:r>
    </w:p>
    <w:tbl>
      <w:tblPr>
        <w:tblW w:w="5000" w:type="pct"/>
        <w:jc w:val="center"/>
        <w:tblLook w:val="04A0" w:firstRow="1" w:lastRow="0" w:firstColumn="1" w:lastColumn="0" w:noHBand="0" w:noVBand="1"/>
      </w:tblPr>
      <w:tblGrid>
        <w:gridCol w:w="6558"/>
        <w:gridCol w:w="2802"/>
      </w:tblGrid>
      <w:tr w:rsidR="0020003E" w:rsidRPr="004815DE" w:rsidTr="00AF5732">
        <w:trPr>
          <w:jc w:val="center"/>
        </w:trPr>
        <w:tc>
          <w:tcPr>
            <w:tcW w:w="6819" w:type="dxa"/>
          </w:tcPr>
          <w:p w:rsidR="0020003E" w:rsidRPr="004815DE" w:rsidRDefault="0020003E" w:rsidP="00AF5732">
            <w:pPr>
              <w:autoSpaceDE w:val="0"/>
              <w:autoSpaceDN w:val="0"/>
              <w:adjustRightInd w:val="0"/>
              <w:ind w:left="-111"/>
              <w:rPr>
                <w:rFonts w:cstheme="minorHAnsi"/>
                <w:b/>
                <w:sz w:val="28"/>
              </w:rPr>
            </w:pPr>
            <w:r>
              <w:rPr>
                <w:rFonts w:cstheme="minorHAnsi"/>
                <w:b/>
                <w:sz w:val="28"/>
              </w:rPr>
              <w:lastRenderedPageBreak/>
              <w:t>CHRISTOPHER TATHAM</w:t>
            </w:r>
          </w:p>
          <w:p w:rsidR="0020003E" w:rsidRPr="004815DE" w:rsidRDefault="0020003E" w:rsidP="00AF5732">
            <w:pPr>
              <w:ind w:left="-111"/>
              <w:rPr>
                <w:rFonts w:cstheme="minorHAnsi"/>
                <w:b/>
                <w:sz w:val="24"/>
              </w:rPr>
            </w:pPr>
            <w:r>
              <w:rPr>
                <w:rFonts w:cstheme="minorHAnsi"/>
                <w:b/>
                <w:sz w:val="24"/>
              </w:rPr>
              <w:t>Chief Executive Officer</w:t>
            </w:r>
          </w:p>
          <w:p w:rsidR="0020003E" w:rsidRPr="004815DE" w:rsidRDefault="0020003E" w:rsidP="00AF5732">
            <w:pPr>
              <w:ind w:left="-111"/>
              <w:rPr>
                <w:rFonts w:cstheme="minorHAnsi"/>
              </w:rPr>
            </w:pPr>
            <w:r>
              <w:rPr>
                <w:rFonts w:cstheme="minorHAnsi"/>
              </w:rPr>
              <w:t>ETC Institute</w:t>
            </w:r>
          </w:p>
          <w:p w:rsidR="0020003E" w:rsidRPr="004815DE" w:rsidRDefault="0020003E" w:rsidP="00AF5732">
            <w:pPr>
              <w:ind w:left="-111"/>
              <w:rPr>
                <w:rFonts w:cstheme="minorHAnsi"/>
              </w:rPr>
            </w:pPr>
            <w:r>
              <w:rPr>
                <w:rFonts w:cstheme="minorHAnsi"/>
              </w:rPr>
              <w:t>725 W. Frontier Circle, Olathe, KS 66061</w:t>
            </w:r>
          </w:p>
          <w:p w:rsidR="0020003E" w:rsidRPr="004815DE" w:rsidRDefault="0020003E" w:rsidP="00AF5732">
            <w:pPr>
              <w:ind w:left="-111"/>
              <w:rPr>
                <w:rFonts w:cstheme="minorHAnsi"/>
              </w:rPr>
            </w:pPr>
            <w:r>
              <w:rPr>
                <w:rFonts w:cstheme="minorHAnsi"/>
                <w:color w:val="0000FF"/>
                <w:u w:val="single"/>
              </w:rPr>
              <w:t>ctatham@etcinstitute.com</w:t>
            </w:r>
          </w:p>
          <w:p w:rsidR="0020003E" w:rsidRPr="004815DE" w:rsidRDefault="0020003E" w:rsidP="00AF5732">
            <w:pPr>
              <w:ind w:left="-111"/>
              <w:rPr>
                <w:rFonts w:cstheme="minorHAnsi"/>
              </w:rPr>
            </w:pPr>
            <w:r w:rsidRPr="004815DE">
              <w:rPr>
                <w:rFonts w:cstheme="minorHAnsi"/>
              </w:rPr>
              <w:t>(</w:t>
            </w:r>
            <w:r>
              <w:rPr>
                <w:rFonts w:cstheme="minorHAnsi"/>
              </w:rPr>
              <w:t>913</w:t>
            </w:r>
            <w:r w:rsidRPr="004815DE">
              <w:rPr>
                <w:rFonts w:cstheme="minorHAnsi"/>
              </w:rPr>
              <w:t xml:space="preserve">) </w:t>
            </w:r>
            <w:r>
              <w:rPr>
                <w:rFonts w:cstheme="minorHAnsi"/>
              </w:rPr>
              <w:t>254-4512</w:t>
            </w:r>
          </w:p>
        </w:tc>
        <w:tc>
          <w:tcPr>
            <w:tcW w:w="2829" w:type="dxa"/>
          </w:tcPr>
          <w:p w:rsidR="0020003E" w:rsidRPr="004815DE" w:rsidRDefault="0020003E" w:rsidP="00AF5732">
            <w:pPr>
              <w:autoSpaceDE w:val="0"/>
              <w:autoSpaceDN w:val="0"/>
              <w:adjustRightInd w:val="0"/>
              <w:jc w:val="right"/>
              <w:rPr>
                <w:rFonts w:cstheme="minorHAnsi"/>
                <w:b/>
              </w:rPr>
            </w:pPr>
            <w:r>
              <w:rPr>
                <w:noProof/>
              </w:rPr>
              <w:drawing>
                <wp:inline distT="0" distB="0" distL="0" distR="0" wp14:anchorId="587C08D3" wp14:editId="296B73F9">
                  <wp:extent cx="1378424" cy="588060"/>
                  <wp:effectExtent l="0" t="0" r="0" b="2540"/>
                  <wp:docPr id="8" name="Picture 8"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rsidR="0020003E" w:rsidRPr="004815DE" w:rsidRDefault="0020003E" w:rsidP="0020003E"/>
    <w:p w:rsidR="0020003E" w:rsidRPr="004815DE" w:rsidRDefault="0020003E" w:rsidP="0020003E">
      <w:pPr>
        <w:rPr>
          <w:rFonts w:cstheme="minorHAnsi"/>
          <w:b/>
          <w:u w:val="single"/>
        </w:rPr>
      </w:pPr>
      <w:r w:rsidRPr="004815DE">
        <w:rPr>
          <w:rFonts w:cstheme="minorHAnsi"/>
          <w:b/>
          <w:u w:val="single"/>
        </w:rPr>
        <w:t>EDUCATION</w:t>
      </w:r>
    </w:p>
    <w:p w:rsidR="0020003E" w:rsidRDefault="0020003E" w:rsidP="0020003E">
      <w:r>
        <w:t>M.</w:t>
      </w:r>
      <w:r w:rsidRPr="004815DE">
        <w:t>B.</w:t>
      </w:r>
      <w:r>
        <w:t>A</w:t>
      </w:r>
      <w:r w:rsidRPr="004815DE">
        <w:t xml:space="preserve">., </w:t>
      </w:r>
      <w:r>
        <w:t>Business, Kansas State University (Manhattan, KS)</w:t>
      </w:r>
    </w:p>
    <w:p w:rsidR="0020003E" w:rsidRPr="004815DE" w:rsidRDefault="0020003E" w:rsidP="0020003E">
      <w:r>
        <w:t>B.A., Economics and Latin America Studies (Princeton, NJ)</w:t>
      </w:r>
    </w:p>
    <w:p w:rsidR="0020003E" w:rsidRDefault="0020003E" w:rsidP="0020003E"/>
    <w:p w:rsidR="0020003E" w:rsidRPr="004815DE" w:rsidRDefault="0020003E" w:rsidP="0020003E">
      <w:pPr>
        <w:rPr>
          <w:rFonts w:cstheme="minorHAnsi"/>
          <w:b/>
          <w:u w:val="single"/>
        </w:rPr>
      </w:pPr>
      <w:r>
        <w:rPr>
          <w:rFonts w:cstheme="minorHAnsi"/>
          <w:b/>
          <w:u w:val="single"/>
        </w:rPr>
        <w:t>PROFESSIONAL AFFILIATIONS</w:t>
      </w:r>
    </w:p>
    <w:p w:rsidR="0020003E" w:rsidRPr="001F5B38" w:rsidRDefault="0020003E" w:rsidP="0020003E">
      <w:pPr>
        <w:pStyle w:val="Style"/>
        <w:numPr>
          <w:ilvl w:val="0"/>
          <w:numId w:val="2"/>
        </w:numPr>
        <w:tabs>
          <w:tab w:val="left" w:pos="-630"/>
          <w:tab w:val="left" w:pos="-180"/>
          <w:tab w:val="left" w:pos="1620"/>
          <w:tab w:val="left" w:pos="5130"/>
        </w:tabs>
        <w:rPr>
          <w:rFonts w:asciiTheme="minorHAnsi" w:hAnsiTheme="minorHAnsi"/>
          <w:color w:val="000000"/>
          <w:sz w:val="22"/>
        </w:rPr>
      </w:pPr>
      <w:r w:rsidRPr="001F5B38">
        <w:rPr>
          <w:rFonts w:asciiTheme="minorHAnsi" w:hAnsiTheme="minorHAnsi"/>
          <w:color w:val="000000"/>
          <w:sz w:val="22"/>
        </w:rPr>
        <w:t>Former logistics officer, US. Army; awards include: Meritorious Service Medal, Army Commendation Medal, Army Achievement Medal, Humanitarian Service Medal, and others</w:t>
      </w:r>
    </w:p>
    <w:p w:rsidR="0020003E" w:rsidRPr="001F5B38" w:rsidRDefault="0020003E" w:rsidP="0020003E">
      <w:pPr>
        <w:pStyle w:val="Level1"/>
        <w:numPr>
          <w:ilvl w:val="0"/>
          <w:numId w:val="2"/>
        </w:numPr>
        <w:tabs>
          <w:tab w:val="left" w:pos="-630"/>
          <w:tab w:val="left" w:pos="-180"/>
          <w:tab w:val="left" w:pos="1620"/>
          <w:tab w:val="left" w:pos="5130"/>
        </w:tabs>
        <w:rPr>
          <w:rFonts w:asciiTheme="minorHAnsi" w:hAnsiTheme="minorHAnsi"/>
          <w:color w:val="000000"/>
          <w:sz w:val="22"/>
        </w:rPr>
      </w:pPr>
      <w:r w:rsidRPr="001F5B38">
        <w:rPr>
          <w:rFonts w:asciiTheme="minorHAnsi" w:hAnsiTheme="minorHAnsi"/>
          <w:color w:val="000000"/>
          <w:sz w:val="22"/>
        </w:rPr>
        <w:t>Board of Directors, Olathe Chamber of Commerce</w:t>
      </w:r>
    </w:p>
    <w:p w:rsidR="0020003E" w:rsidRPr="001F5B38" w:rsidRDefault="0020003E" w:rsidP="0020003E">
      <w:pPr>
        <w:pStyle w:val="Level1"/>
        <w:numPr>
          <w:ilvl w:val="0"/>
          <w:numId w:val="2"/>
        </w:numPr>
        <w:tabs>
          <w:tab w:val="left" w:pos="-630"/>
          <w:tab w:val="left" w:pos="-180"/>
          <w:tab w:val="left" w:pos="1620"/>
          <w:tab w:val="left" w:pos="5130"/>
        </w:tabs>
        <w:rPr>
          <w:rFonts w:asciiTheme="minorHAnsi" w:hAnsiTheme="minorHAnsi"/>
          <w:color w:val="000000"/>
          <w:sz w:val="22"/>
        </w:rPr>
      </w:pPr>
      <w:r w:rsidRPr="001F5B38">
        <w:rPr>
          <w:rFonts w:asciiTheme="minorHAnsi" w:hAnsiTheme="minorHAnsi"/>
          <w:color w:val="000000"/>
          <w:sz w:val="22"/>
        </w:rPr>
        <w:t>Olathe Convention and Visitors Bureau</w:t>
      </w:r>
    </w:p>
    <w:p w:rsidR="0020003E" w:rsidRPr="001F5B38" w:rsidRDefault="0020003E" w:rsidP="0020003E">
      <w:pPr>
        <w:pStyle w:val="Level1"/>
        <w:numPr>
          <w:ilvl w:val="0"/>
          <w:numId w:val="2"/>
        </w:numPr>
        <w:tabs>
          <w:tab w:val="left" w:pos="-630"/>
          <w:tab w:val="left" w:pos="-180"/>
          <w:tab w:val="left" w:pos="1620"/>
          <w:tab w:val="left" w:pos="5130"/>
        </w:tabs>
        <w:rPr>
          <w:rFonts w:asciiTheme="minorHAnsi" w:hAnsiTheme="minorHAnsi"/>
          <w:color w:val="000000"/>
          <w:sz w:val="22"/>
        </w:rPr>
      </w:pPr>
      <w:r w:rsidRPr="001F5B38">
        <w:rPr>
          <w:rFonts w:asciiTheme="minorHAnsi" w:hAnsiTheme="minorHAnsi"/>
          <w:color w:val="000000"/>
          <w:sz w:val="22"/>
        </w:rPr>
        <w:t>Olathe’s Strategic Planning Committee</w:t>
      </w:r>
    </w:p>
    <w:p w:rsidR="0020003E" w:rsidRPr="001F5B38" w:rsidRDefault="0020003E" w:rsidP="0020003E">
      <w:pPr>
        <w:pStyle w:val="Level1"/>
        <w:numPr>
          <w:ilvl w:val="0"/>
          <w:numId w:val="2"/>
        </w:numPr>
        <w:tabs>
          <w:tab w:val="left" w:pos="-630"/>
          <w:tab w:val="left" w:pos="-180"/>
          <w:tab w:val="left" w:pos="1620"/>
          <w:tab w:val="left" w:pos="5130"/>
        </w:tabs>
        <w:rPr>
          <w:rFonts w:asciiTheme="minorHAnsi" w:hAnsiTheme="minorHAnsi"/>
          <w:color w:val="000000"/>
          <w:sz w:val="22"/>
        </w:rPr>
      </w:pPr>
      <w:r w:rsidRPr="001F5B38">
        <w:rPr>
          <w:rFonts w:asciiTheme="minorHAnsi" w:hAnsiTheme="minorHAnsi"/>
          <w:color w:val="000000"/>
          <w:sz w:val="22"/>
        </w:rPr>
        <w:t xml:space="preserve">Chair of </w:t>
      </w:r>
      <w:r w:rsidRPr="001F5B38">
        <w:rPr>
          <w:rFonts w:asciiTheme="minorHAnsi" w:hAnsiTheme="minorHAnsi"/>
          <w:i/>
          <w:color w:val="000000"/>
          <w:sz w:val="22"/>
        </w:rPr>
        <w:t>VoteOlathe</w:t>
      </w:r>
    </w:p>
    <w:p w:rsidR="0020003E" w:rsidRPr="001F5B38" w:rsidRDefault="0020003E" w:rsidP="0020003E">
      <w:pPr>
        <w:pStyle w:val="Level1"/>
        <w:numPr>
          <w:ilvl w:val="0"/>
          <w:numId w:val="2"/>
        </w:numPr>
        <w:tabs>
          <w:tab w:val="left" w:pos="-630"/>
          <w:tab w:val="left" w:pos="-180"/>
          <w:tab w:val="left" w:pos="1620"/>
          <w:tab w:val="left" w:pos="5130"/>
        </w:tabs>
        <w:rPr>
          <w:rFonts w:asciiTheme="minorHAnsi" w:hAnsiTheme="minorHAnsi"/>
          <w:color w:val="000000"/>
          <w:sz w:val="22"/>
        </w:rPr>
      </w:pPr>
      <w:r w:rsidRPr="001F5B38">
        <w:rPr>
          <w:rFonts w:asciiTheme="minorHAnsi" w:hAnsiTheme="minorHAnsi"/>
          <w:color w:val="000000"/>
          <w:sz w:val="22"/>
        </w:rPr>
        <w:t>Olathe’s Parks and Recreation Board</w:t>
      </w:r>
    </w:p>
    <w:p w:rsidR="0020003E" w:rsidRPr="001F5B38" w:rsidRDefault="0020003E" w:rsidP="0020003E">
      <w:pPr>
        <w:numPr>
          <w:ilvl w:val="0"/>
          <w:numId w:val="2"/>
        </w:numPr>
        <w:rPr>
          <w:rFonts w:asciiTheme="minorHAnsi" w:hAnsiTheme="minorHAnsi"/>
          <w:sz w:val="24"/>
        </w:rPr>
      </w:pPr>
      <w:r w:rsidRPr="001F5B38">
        <w:rPr>
          <w:rFonts w:asciiTheme="minorHAnsi" w:hAnsiTheme="minorHAnsi"/>
        </w:rPr>
        <w:t>Precinct committeeman</w:t>
      </w:r>
    </w:p>
    <w:p w:rsidR="0020003E" w:rsidRPr="004815DE" w:rsidRDefault="0020003E" w:rsidP="0020003E"/>
    <w:p w:rsidR="0020003E" w:rsidRPr="004815DE" w:rsidRDefault="0020003E" w:rsidP="0020003E">
      <w:pPr>
        <w:rPr>
          <w:b/>
          <w:u w:val="single"/>
        </w:rPr>
      </w:pPr>
      <w:r w:rsidRPr="004815DE">
        <w:rPr>
          <w:b/>
          <w:u w:val="single"/>
        </w:rPr>
        <w:t>SUMMARY OF EXPERIENCE</w:t>
      </w:r>
    </w:p>
    <w:p w:rsidR="0020003E" w:rsidRPr="001F5B38" w:rsidRDefault="0020003E" w:rsidP="0020003E">
      <w:pPr>
        <w:shd w:val="clear" w:color="auto" w:fill="FFFFFF"/>
        <w:jc w:val="both"/>
        <w:rPr>
          <w:rFonts w:asciiTheme="minorHAnsi" w:hAnsiTheme="minorHAnsi"/>
          <w:color w:val="000000"/>
        </w:rPr>
      </w:pPr>
      <w:r w:rsidRPr="001F5B38">
        <w:rPr>
          <w:rFonts w:asciiTheme="minorHAnsi" w:hAnsiTheme="minorHAnsi"/>
          <w:color w:val="000000"/>
        </w:rPr>
        <w:t xml:space="preserve">Mr. Tatham is </w:t>
      </w:r>
      <w:r w:rsidRPr="001F5B38">
        <w:rPr>
          <w:rFonts w:asciiTheme="minorHAnsi" w:hAnsiTheme="minorHAnsi"/>
          <w:b/>
          <w:i/>
          <w:color w:val="000000"/>
        </w:rPr>
        <w:t xml:space="preserve">Senior Executive Vice President and Chief Executive Officer </w:t>
      </w:r>
      <w:r w:rsidRPr="001F5B38">
        <w:rPr>
          <w:rFonts w:asciiTheme="minorHAnsi" w:hAnsiTheme="minorHAnsi"/>
          <w:color w:val="000000"/>
        </w:rPr>
        <w:t>for ETC Institute.  Areas of emphasis include: transportation, planning and zoning, parks and recreation, public safety, and utilities.  The company was recently selected as one “One of the Best Places to Work in Kansas City” by the Kansas City Business Journal.  ETC Institute also received the prestigious “Top 10 Small Businesses in Greater Kansas City” award from the Greater Kansas City Chamber of Commerce; the firm was selected from more than 1700 nominees.</w:t>
      </w:r>
    </w:p>
    <w:p w:rsidR="0020003E" w:rsidRPr="001F5B38" w:rsidRDefault="0020003E" w:rsidP="0020003E">
      <w:pPr>
        <w:pStyle w:val="StyleBodytextFirstline025"/>
        <w:shd w:val="clear" w:color="auto" w:fill="FFFFFF"/>
        <w:spacing w:after="0" w:line="240" w:lineRule="auto"/>
        <w:rPr>
          <w:rFonts w:asciiTheme="minorHAnsi" w:hAnsiTheme="minorHAnsi"/>
          <w:szCs w:val="22"/>
        </w:rPr>
      </w:pPr>
    </w:p>
    <w:p w:rsidR="0020003E" w:rsidRPr="001F5B38" w:rsidRDefault="0020003E" w:rsidP="0020003E">
      <w:pPr>
        <w:pStyle w:val="StyleBodytextFirstline025"/>
        <w:shd w:val="clear" w:color="auto" w:fill="FFFFFF"/>
        <w:spacing w:after="0" w:line="240" w:lineRule="auto"/>
        <w:rPr>
          <w:rFonts w:asciiTheme="minorHAnsi" w:hAnsiTheme="minorHAnsi"/>
          <w:szCs w:val="22"/>
        </w:rPr>
      </w:pPr>
      <w:r>
        <w:rPr>
          <w:rFonts w:asciiTheme="minorHAnsi" w:hAnsiTheme="minorHAnsi"/>
          <w:color w:val="000000"/>
          <w:szCs w:val="22"/>
        </w:rPr>
        <w:t>Mr. Tatham</w:t>
      </w:r>
      <w:r w:rsidRPr="001F5B38">
        <w:rPr>
          <w:rFonts w:asciiTheme="minorHAnsi" w:hAnsiTheme="minorHAnsi"/>
          <w:color w:val="000000"/>
          <w:szCs w:val="22"/>
        </w:rPr>
        <w:t xml:space="preserve"> specializes in the management of large data collection projects related to transportation and urban planning.  Having been certified as a</w:t>
      </w:r>
      <w:r w:rsidRPr="001F5B38">
        <w:rPr>
          <w:rFonts w:asciiTheme="minorHAnsi" w:hAnsiTheme="minorHAnsi"/>
          <w:b/>
          <w:i/>
          <w:color w:val="000000"/>
          <w:szCs w:val="22"/>
        </w:rPr>
        <w:t xml:space="preserve"> combat logistician</w:t>
      </w:r>
      <w:r w:rsidRPr="001F5B38">
        <w:rPr>
          <w:rFonts w:asciiTheme="minorHAnsi" w:hAnsiTheme="minorHAnsi"/>
          <w:color w:val="000000"/>
          <w:szCs w:val="22"/>
        </w:rPr>
        <w:t xml:space="preserve"> by the U.S. Army Logistical Management College in Fort Lee, Virginia, Chris has superior skills for planning and coordinating complex tasks that are required for the successful administration of employer, visitor, transit, and household activity travel surveys.  During the past year, he managed more than $4 million dollars’ worth of research projects with budgets ranging from $2,000 to more than $1,000,000.  His representative project experience is provided below.</w:t>
      </w:r>
    </w:p>
    <w:p w:rsidR="0020003E" w:rsidRPr="004815DE" w:rsidRDefault="0020003E" w:rsidP="0020003E">
      <w:pPr>
        <w:pStyle w:val="StyleBodytextFirstline025"/>
        <w:shd w:val="clear" w:color="auto" w:fill="FFFFFF"/>
        <w:spacing w:after="0" w:line="240" w:lineRule="auto"/>
        <w:jc w:val="both"/>
        <w:rPr>
          <w:rFonts w:asciiTheme="minorHAnsi" w:hAnsiTheme="minorHAnsi"/>
          <w:szCs w:val="22"/>
        </w:rPr>
      </w:pPr>
    </w:p>
    <w:p w:rsidR="0020003E" w:rsidRDefault="0020003E" w:rsidP="0020003E">
      <w:pPr>
        <w:rPr>
          <w:b/>
          <w:u w:val="single"/>
        </w:rPr>
      </w:pPr>
      <w:r w:rsidRPr="004815DE">
        <w:rPr>
          <w:b/>
          <w:u w:val="single"/>
        </w:rPr>
        <w:t>RELEVANT PROJECT EXPERIENCE</w:t>
      </w:r>
    </w:p>
    <w:p w:rsidR="0020003E"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Pr>
          <w:rFonts w:asciiTheme="minorHAnsi" w:hAnsiTheme="minorHAnsi"/>
        </w:rPr>
        <w:t>North Front Range Commercial Vehicle Survey</w:t>
      </w:r>
    </w:p>
    <w:p w:rsidR="0020003E" w:rsidRPr="005D4FC7" w:rsidRDefault="0020003E" w:rsidP="0020003E">
      <w:pPr>
        <w:numPr>
          <w:ilvl w:val="0"/>
          <w:numId w:val="1"/>
        </w:numPr>
        <w:autoSpaceDE w:val="0"/>
        <w:autoSpaceDN w:val="0"/>
        <w:adjustRightInd w:val="0"/>
        <w:spacing w:after="60"/>
        <w:rPr>
          <w:rFonts w:asciiTheme="minorHAnsi" w:eastAsia="Calibri" w:hAnsiTheme="minorHAnsi" w:cs="Cambria"/>
        </w:rPr>
      </w:pPr>
      <w:r w:rsidRPr="005D4FC7">
        <w:rPr>
          <w:rFonts w:asciiTheme="minorHAnsi" w:eastAsia="Calibri" w:hAnsiTheme="minorHAnsi" w:cs="Cambria"/>
        </w:rPr>
        <w:t>Dallas-Fort Worth Commercial Vehicle Survey</w:t>
      </w:r>
    </w:p>
    <w:p w:rsidR="0020003E" w:rsidRPr="005D4FC7" w:rsidRDefault="0020003E" w:rsidP="0020003E">
      <w:pPr>
        <w:numPr>
          <w:ilvl w:val="0"/>
          <w:numId w:val="1"/>
        </w:numPr>
        <w:autoSpaceDE w:val="0"/>
        <w:autoSpaceDN w:val="0"/>
        <w:adjustRightInd w:val="0"/>
        <w:spacing w:after="60"/>
        <w:rPr>
          <w:rFonts w:asciiTheme="minorHAnsi" w:eastAsia="Calibri" w:hAnsiTheme="minorHAnsi" w:cs="Cambria"/>
        </w:rPr>
      </w:pPr>
      <w:r w:rsidRPr="005D4FC7">
        <w:rPr>
          <w:rFonts w:asciiTheme="minorHAnsi" w:eastAsia="Calibri" w:hAnsiTheme="minorHAnsi" w:cs="Cambria"/>
        </w:rPr>
        <w:t>Sherman-Denison Commercial Vehicle Survey</w:t>
      </w:r>
    </w:p>
    <w:p w:rsidR="0020003E" w:rsidRPr="005D4FC7" w:rsidRDefault="0020003E" w:rsidP="0020003E">
      <w:pPr>
        <w:numPr>
          <w:ilvl w:val="0"/>
          <w:numId w:val="1"/>
        </w:numPr>
        <w:autoSpaceDE w:val="0"/>
        <w:autoSpaceDN w:val="0"/>
        <w:adjustRightInd w:val="0"/>
        <w:spacing w:after="60"/>
        <w:rPr>
          <w:rFonts w:asciiTheme="minorHAnsi" w:eastAsia="Calibri" w:hAnsiTheme="minorHAnsi" w:cs="Cambria"/>
        </w:rPr>
      </w:pPr>
      <w:r w:rsidRPr="005D4FC7">
        <w:rPr>
          <w:rFonts w:asciiTheme="minorHAnsi" w:eastAsia="Calibri" w:hAnsiTheme="minorHAnsi" w:cs="Cambria"/>
        </w:rPr>
        <w:t>Wichita Falls Commercial Vehicle Survey</w:t>
      </w:r>
    </w:p>
    <w:p w:rsidR="0020003E" w:rsidRPr="005D4FC7"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5D4FC7">
        <w:rPr>
          <w:rFonts w:asciiTheme="minorHAnsi" w:eastAsia="Calibri" w:hAnsiTheme="minorHAnsi" w:cs="Cambria"/>
        </w:rPr>
        <w:t>Bryan-College Station Commercial Vehicle Survey</w:t>
      </w:r>
    </w:p>
    <w:p w:rsidR="0020003E" w:rsidRPr="005D4FC7"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5D4FC7">
        <w:rPr>
          <w:rFonts w:asciiTheme="minorHAnsi" w:hAnsiTheme="minorHAnsi"/>
        </w:rPr>
        <w:t>Dallas-Fort Worth Work Place and Special Generator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lastRenderedPageBreak/>
        <w:t>Houston-Galveston Work Place and Special Generator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Corpus Christi and Victoria Work Place and Special Generator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Kansas City Commercial Vehicle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Wichita Commercial Vehicle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Central Oklahoma Regional Commercial Vehicle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Boise Commercial Vehicle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Houston-Galveston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Oklahoma City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Binghamton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Waco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Killeen-Temple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Kansas City Regional External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Fayetteville, North Carolina Regional External Origin and Destination Survey and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Raleigh-Durham Regional External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Greenville, North Carolina Regional External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Boise Commercial Vehicle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San Antonio-Austin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Atlanta Regional Commercial Vehicle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Lubbock-Amarillo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Greater Kansas City On-board Transit Travel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Coachella Valley, California, Regional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Greater Buffalo-Niagara, New York, Regional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 xml:space="preserve">Missouri Department of Transportation Statewide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 xml:space="preserve">Charleston, South Carolina, Regional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 xml:space="preserve">Pikes Peak Area Council of Governments, Regional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Jacksonville, North Carolina, Regional Origin and Destination Survey</w:t>
      </w:r>
    </w:p>
    <w:p w:rsidR="0020003E" w:rsidRPr="00D259AC" w:rsidRDefault="0020003E" w:rsidP="0020003E">
      <w:pPr>
        <w:numPr>
          <w:ilvl w:val="0"/>
          <w:numId w:val="1"/>
        </w:numPr>
        <w:spacing w:after="60"/>
        <w:rPr>
          <w:i/>
        </w:rPr>
      </w:pPr>
      <w:r w:rsidRPr="00D259AC">
        <w:t>Wichita, Kansas, Origin and Destination Survey</w:t>
      </w:r>
    </w:p>
    <w:p w:rsidR="0020003E" w:rsidRPr="00D259AC" w:rsidRDefault="0020003E" w:rsidP="0020003E">
      <w:pPr>
        <w:numPr>
          <w:ilvl w:val="0"/>
          <w:numId w:val="1"/>
        </w:numPr>
        <w:spacing w:after="60"/>
        <w:rPr>
          <w:i/>
        </w:rPr>
      </w:pPr>
      <w:r w:rsidRPr="00D259AC">
        <w:t xml:space="preserve">Syracuse, New York, Regional Origin and Destination Survey </w:t>
      </w:r>
    </w:p>
    <w:p w:rsidR="0020003E" w:rsidRPr="00D259AC" w:rsidRDefault="0020003E" w:rsidP="0020003E">
      <w:pPr>
        <w:numPr>
          <w:ilvl w:val="0"/>
          <w:numId w:val="1"/>
        </w:numPr>
        <w:spacing w:after="60"/>
        <w:rPr>
          <w:i/>
        </w:rPr>
      </w:pPr>
      <w:r w:rsidRPr="00D259AC">
        <w:t>Greater Louisville, Kentucky, Regional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80"/>
        <w:jc w:val="both"/>
        <w:rPr>
          <w:rFonts w:asciiTheme="minorHAnsi" w:hAnsiTheme="minorHAnsi"/>
        </w:rPr>
      </w:pPr>
      <w:r w:rsidRPr="00D259AC">
        <w:rPr>
          <w:rFonts w:asciiTheme="minorHAnsi" w:hAnsiTheme="minorHAnsi"/>
        </w:rPr>
        <w:t xml:space="preserve">North Front Range Regional Origin and Destination Survey </w:t>
      </w:r>
    </w:p>
    <w:p w:rsidR="0020003E" w:rsidRDefault="0020003E" w:rsidP="0020003E">
      <w:pPr>
        <w:rPr>
          <w:rFonts w:ascii="Times New Roman" w:hAnsi="Times New Roman"/>
          <w:sz w:val="24"/>
        </w:rPr>
      </w:pPr>
      <w:bookmarkStart w:id="0" w:name="_GoBack"/>
      <w:bookmarkEnd w:id="0"/>
    </w:p>
    <w:sectPr w:rsidR="0020003E" w:rsidSect="005458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F7" w:rsidRDefault="00DC47F7">
      <w:r>
        <w:separator/>
      </w:r>
    </w:p>
  </w:endnote>
  <w:endnote w:type="continuationSeparator" w:id="0">
    <w:p w:rsidR="00DC47F7" w:rsidRDefault="00D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7" w:rsidRPr="000F1E88" w:rsidRDefault="00DC47F7" w:rsidP="000F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F7" w:rsidRDefault="00DC47F7">
      <w:r>
        <w:separator/>
      </w:r>
    </w:p>
  </w:footnote>
  <w:footnote w:type="continuationSeparator" w:id="0">
    <w:p w:rsidR="00DC47F7" w:rsidRDefault="00DC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7" w:rsidRPr="000F1E88" w:rsidRDefault="00DC47F7" w:rsidP="000F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20003E"/>
    <w:rsid w:val="00322936"/>
    <w:rsid w:val="003368CC"/>
    <w:rsid w:val="003373B5"/>
    <w:rsid w:val="004B3119"/>
    <w:rsid w:val="00660F80"/>
    <w:rsid w:val="00A94A07"/>
    <w:rsid w:val="00DC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5FE.40FD61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Andrew</cp:lastModifiedBy>
  <cp:revision>2</cp:revision>
  <dcterms:created xsi:type="dcterms:W3CDTF">2016-07-19T16:24:00Z</dcterms:created>
  <dcterms:modified xsi:type="dcterms:W3CDTF">2016-07-20T16:38:00Z</dcterms:modified>
</cp:coreProperties>
</file>